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tbl>
      <w:tblPr>
        <w:tblW w:type="dxa" w:w="938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386"/>
      </w:tblGrid>
      <w:tr>
        <w:tc>
          <w:tcPr>
            <w:tcW w:type="dxa" w:w="9386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shd w:fill="1F4E8C" w:val="clear"/>
            <w:tcMar>
              <w:top w:type="dxa" w:w="200"/>
              <w:left w:type="dxa" w:w="300"/>
              <w:bottom w:type="dxa" w:w="200"/>
              <w:right w:type="dxa" w:w="300"/>
            </w:tcMar>
          </w:tcPr>
          <w:p>
            <w:pPr>
              <w:spacing w:after="60" w:before="60"/>
              <w:jc w:val="center"/>
            </w:pPr>
            <w:r>
              <w:rPr>
                <w:rFonts w:ascii="Arial" w:cs="Arial" w:eastAsia="Arial" w:hAnsi="Arial"/>
                <w:b/>
                <w:bCs/>
                <w:color w:val="FFFFFF"/>
                <w:sz w:val="36"/>
                <w:szCs w:val="36"/>
              </w:rPr>
              <w:t xml:space="preserve">ESPANA EFICIENTE</w:t>
            </w:r>
          </w:p>
          <w:p>
            <w:pPr>
              <w:spacing w:after="40" w:before="40"/>
              <w:jc w:val="center"/>
            </w:pPr>
            <w:r>
              <w:rPr>
                <w:rFonts w:ascii="Arial" w:cs="Arial" w:eastAsia="Arial" w:hAnsi="Arial"/>
                <w:color w:val="BDD7EE"/>
                <w:sz w:val="24"/>
                <w:szCs w:val="24"/>
              </w:rPr>
              <w:t xml:space="preserve">POLICY BRIEF  |  EDUCACION Y EMPLEO</w:t>
            </w:r>
          </w:p>
          <w:p>
            <w:pPr>
              <w:spacing w:after="60" w:before="40"/>
              <w:jc w:val="center"/>
            </w:pPr>
            <w:r>
              <w:rPr>
                <w:rFonts w:ascii="Arial" w:cs="Arial" w:eastAsia="Arial" w:hAnsi="Arial"/>
                <w:i/>
                <w:iCs/>
                <w:color w:val="BDD7EE"/>
                <w:sz w:val="22"/>
                <w:szCs w:val="22"/>
              </w:rPr>
              <w:t xml:space="preserve">EBAU Unica y FP Dirigida al Empleo: Igualdad de Origen y Formacion que Funciona</w:t>
            </w:r>
          </w:p>
        </w:tc>
      </w:tr>
    </w:tbl>
    <w:p>
      <w:pPr>
        <w:spacing w:after="0" w:before="240"/>
      </w:pPr>
      <w:r>
        <w:t xml:space="preserve"/>
      </w:r>
    </w:p>
    <w:tbl>
      <w:tblPr>
        <w:tblW w:type="dxa" w:w="936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360"/>
      </w:tblGrid>
      <w:tr>
        <w:tc>
          <w:tcPr>
            <w:tcW w:type="dxa" w:w="9360"/>
            <w:tcBorders>
              <w:top w:val="single" w:color="C9A84C" w:sz="8"/>
              <w:left w:val="single" w:color="C9A84C" w:sz="8"/>
              <w:bottom w:val="single" w:color="C9A84C" w:sz="8"/>
              <w:right w:val="single" w:color="C9A84C" w:sz="8"/>
            </w:tcBorders>
            <w:shd w:fill="FFF8E7" w:val="clear"/>
            <w:tcMar>
              <w:top w:type="dxa" w:w="140"/>
              <w:left w:type="dxa" w:w="200"/>
              <w:bottom w:type="dxa" w:w="140"/>
              <w:right w:type="dxa" w:w="200"/>
            </w:tcMar>
          </w:tcPr>
          <w:p>
            <w:pPr>
              <w:spacing w:after="60" w:before="60"/>
            </w:pPr>
            <w:r>
              <w:rPr>
                <w:rFonts w:ascii="Arial" w:cs="Arial" w:eastAsia="Arial" w:hAnsi="Arial"/>
                <w:b/>
                <w:bCs/>
                <w:color w:val="3A2800"/>
                <w:sz w:val="22"/>
                <w:szCs w:val="22"/>
              </w:rPr>
              <w:t xml:space="preserve">Un estudiante no deberia tener mas o menos opciones en funcion de donde ha nacido.</w:t>
            </w:r>
          </w:p>
          <w:p>
            <w:pPr>
              <w:spacing w:after="60" w:before="60"/>
            </w:pPr>
            <w:r>
              <w:rPr>
                <w:rFonts w:ascii="Arial" w:cs="Arial" w:eastAsia="Arial" w:hAnsi="Arial"/>
                <w:b w:val="false"/>
                <w:bCs w:val="false"/>
                <w:color w:val="3A2800"/>
                <w:sz w:val="22"/>
                <w:szCs w:val="22"/>
              </w:rPr>
              <w:t xml:space="preserve">Y un joven no deberia estar en paro cuando hay empresas que no encuentran el perfil que necesitan.</w:t>
            </w:r>
          </w:p>
          <w:p>
            <w:pPr>
              <w:spacing w:after="60" w:before="60"/>
            </w:pPr>
            <w:r>
              <w:rPr>
                <w:rFonts w:ascii="Arial" w:cs="Arial" w:eastAsia="Arial" w:hAnsi="Arial"/>
                <w:b/>
                <w:bCs/>
                <w:color w:val="3A2800"/>
                <w:sz w:val="22"/>
                <w:szCs w:val="22"/>
              </w:rPr>
              <w:t xml:space="preserve">Dos problemas. Dos reformas. Un mismo objetivo: igualdad real de oportunidades.</w:t>
            </w:r>
          </w:p>
        </w:tc>
      </w:tr>
    </w:tbl>
    <w:p>
      <w:pPr>
        <w:spacing w:after="0" w:before="200"/>
      </w:pPr>
      <w:r>
        <w:t xml:space="preserve"/>
      </w:r>
    </w:p>
    <w:p>
      <w:pPr>
        <w:pStyle w:val="Heading1"/>
        <w:pBdr>
          <w:bottom w:val="single" w:color="1F4E8C" w:sz="8" w:space="6"/>
        </w:pBdr>
        <w:spacing w:after="160" w:before="400"/>
      </w:pPr>
      <w:r>
        <w:rPr>
          <w:rFonts w:ascii="Arial" w:cs="Arial" w:eastAsia="Arial" w:hAnsi="Arial"/>
          <w:b/>
          <w:bCs/>
          <w:color w:val="1F4E8C"/>
          <w:sz w:val="30"/>
          <w:szCs w:val="30"/>
        </w:rPr>
        <w:t xml:space="preserve">1. Resumen Ejecutivo</w:t>
      </w:r>
    </w:p>
    <w:p>
      <w:pPr>
        <w:spacing w:after="100" w:before="80"/>
        <w:jc w:val="both"/>
      </w:pPr>
      <w:r>
        <w:rPr>
          <w:rFonts w:ascii="Arial" w:cs="Arial" w:eastAsia="Arial" w:hAnsi="Arial"/>
          <w:sz w:val="22"/>
          <w:szCs w:val="22"/>
        </w:rPr>
        <w:t xml:space="preserve">Espana tiene dos problemas estructurales en educacion y empleo que se refuerzan mutuamente. El primero: el acceso a la universidad depende en parte de donde has estudiado. Un mismo ejercicio tiene distinta dificultad y distinta correccion segun la comunidad autonoma, lo que genera desigualdad de origen en el acceso a las mejores plazas universitarias. El segundo: Espana tiene el segundo mayor desempleo juvenil de Europa mientras empresas de sectores estrategicos no encuentran tecnicos cualificados. La Formacion Profesional forma para titulos, no para empleos reales, y la conexion con el mercado laboral es insuficiente. Espana Eficiente propone dos reformas complementarias: una EBAU unica con estandares comunes en todo el territorio nacional, y una FP radicalmente orientada a la demanda real del mercado laboral con contratos de formacion vinculados a empleo real.</w:t>
      </w:r>
    </w:p>
    <w:p>
      <w:pPr>
        <w:spacing w:after="0" w:before="200"/>
      </w:pPr>
      <w:r>
        <w:t xml:space="preserve"/>
      </w:r>
    </w:p>
    <w:p>
      <w:pPr>
        <w:pStyle w:val="Heading1"/>
        <w:pBdr>
          <w:bottom w:val="single" w:color="1F4E8C" w:sz="8" w:space="6"/>
        </w:pBdr>
        <w:spacing w:after="160" w:before="400"/>
      </w:pPr>
      <w:r>
        <w:rPr>
          <w:rFonts w:ascii="Arial" w:cs="Arial" w:eastAsia="Arial" w:hAnsi="Arial"/>
          <w:b/>
          <w:bCs/>
          <w:color w:val="1F4E8C"/>
          <w:sz w:val="30"/>
          <w:szCs w:val="30"/>
        </w:rPr>
        <w:t xml:space="preserve">PARTE I: EBAU UNICA NACIONAL</w:t>
      </w:r>
    </w:p>
    <w:p>
      <w:pPr>
        <w:pStyle w:val="Heading1"/>
        <w:pBdr>
          <w:bottom w:val="single" w:color="1F4E8C" w:sz="8" w:space="6"/>
        </w:pBdr>
        <w:spacing w:after="160" w:before="400"/>
      </w:pPr>
      <w:r>
        <w:rPr>
          <w:rFonts w:ascii="Arial" w:cs="Arial" w:eastAsia="Arial" w:hAnsi="Arial"/>
          <w:b/>
          <w:bCs/>
          <w:color w:val="1F4E8C"/>
          <w:sz w:val="30"/>
          <w:szCs w:val="30"/>
        </w:rPr>
        <w:t xml:space="preserve">2. El Problema: Una Loteria Postal</w:t>
      </w:r>
    </w:p>
    <w:p>
      <w:pPr>
        <w:spacing w:after="100" w:before="80"/>
        <w:jc w:val="both"/>
      </w:pPr>
      <w:r>
        <w:rPr>
          <w:rFonts w:ascii="Arial" w:cs="Arial" w:eastAsia="Arial" w:hAnsi="Arial"/>
          <w:sz w:val="22"/>
          <w:szCs w:val="22"/>
        </w:rPr>
        <w:t xml:space="preserve">El sistema actual de acceso a la universidad en Espana tiene un defecto estructural que afecta directamente a la equidad: los examenes de la EBAU no son iguales en todas las comunidades autonomas.</w:t>
      </w:r>
    </w:p>
    <w:p>
      <w:pPr>
        <w:spacing w:after="0" w:before="80"/>
      </w:pPr>
      <w:r>
        <w:t xml:space="preserve"/>
      </w:r>
    </w:p>
    <w:p>
      <w:pPr>
        <w:pStyle w:val="ListParagraph"/>
        <w:numPr>
          <w:ilvl w:val="0"/>
          <w:numId w:val="2"/>
        </w:numPr>
        <w:spacing w:after="60" w:before="60"/>
      </w:pPr>
      <w:r>
        <w:rPr>
          <w:rFonts w:ascii="Arial" w:cs="Arial" w:eastAsia="Arial" w:hAnsi="Arial"/>
          <w:b w:val="false"/>
          <w:bCs w:val="false"/>
          <w:sz w:val="22"/>
          <w:szCs w:val="22"/>
        </w:rPr>
        <w:t xml:space="preserve">Cada comunidad autonoma disenha sus propios examenes, establece sus propios criterios de correccion y fija sus propias notas de corte en algunas titulaciones de oferta propia.</w:t>
      </w:r>
    </w:p>
    <w:p>
      <w:pPr>
        <w:pStyle w:val="ListParagraph"/>
        <w:numPr>
          <w:ilvl w:val="0"/>
          <w:numId w:val="2"/>
        </w:numPr>
        <w:spacing w:after="60" w:before="60"/>
      </w:pPr>
      <w:r>
        <w:rPr>
          <w:rFonts w:ascii="Arial" w:cs="Arial" w:eastAsia="Arial" w:hAnsi="Arial"/>
          <w:b w:val="false"/>
          <w:bCs w:val="false"/>
          <w:sz w:val="22"/>
          <w:szCs w:val="22"/>
        </w:rPr>
        <w:t xml:space="preserve">Un estudiante de Extremadura y uno de Madrid pueden hacer examenes de Matematicas con niveles de dificultad distintos y obtener la misma nota, pero competir por las mismas plazas en universidades de todo el pais.</w:t>
      </w:r>
    </w:p>
    <w:p>
      <w:pPr>
        <w:pStyle w:val="ListParagraph"/>
        <w:numPr>
          <w:ilvl w:val="0"/>
          <w:numId w:val="2"/>
        </w:numPr>
        <w:spacing w:after="60" w:before="60"/>
      </w:pPr>
      <w:r>
        <w:rPr>
          <w:rFonts w:ascii="Arial" w:cs="Arial" w:eastAsia="Arial" w:hAnsi="Arial"/>
          <w:b w:val="false"/>
          <w:bCs w:val="false"/>
          <w:sz w:val="22"/>
          <w:szCs w:val="22"/>
        </w:rPr>
        <w:t xml:space="preserve">Las diferencias en dificultad entre comunidades estan documentadas y generan ventajas comparativas injustas para estudiantes de determinadas regiones en el acceso a titulaciones con alta demanda.</w:t>
      </w:r>
    </w:p>
    <w:p>
      <w:pPr>
        <w:pStyle w:val="ListParagraph"/>
        <w:numPr>
          <w:ilvl w:val="0"/>
          <w:numId w:val="2"/>
        </w:numPr>
        <w:spacing w:after="60" w:before="60"/>
      </w:pPr>
      <w:r>
        <w:rPr>
          <w:rFonts w:ascii="Arial" w:cs="Arial" w:eastAsia="Arial" w:hAnsi="Arial"/>
          <w:b w:val="false"/>
          <w:bCs w:val="false"/>
          <w:sz w:val="22"/>
          <w:szCs w:val="22"/>
        </w:rPr>
        <w:t xml:space="preserve">El sistema actual premia o penaliza al estudiante en funcion de donde ha nacido, no de lo que sabe. Eso no es un sistema de merito. Es una loteria postal.</w:t>
      </w:r>
    </w:p>
    <w:p>
      <w:pPr>
        <w:pStyle w:val="ListParagraph"/>
        <w:numPr>
          <w:ilvl w:val="0"/>
          <w:numId w:val="2"/>
        </w:numPr>
        <w:spacing w:after="60" w:before="60"/>
      </w:pPr>
      <w:r>
        <w:rPr>
          <w:rFonts w:ascii="Arial" w:cs="Arial" w:eastAsia="Arial" w:hAnsi="Arial"/>
          <w:b w:val="false"/>
          <w:bCs w:val="false"/>
          <w:sz w:val="22"/>
          <w:szCs w:val="22"/>
        </w:rPr>
        <w:t xml:space="preserve">Las universidades privadas y los colegios internacionales han detectado esta distorsion y la explotan: forman a sus estudiantes especificamente para las particularidades de la EBAU de su comunidad, generando una ventaja adicional para quienes pueden pagar esa formacion.</w:t>
      </w:r>
    </w:p>
    <w:p>
      <w:pPr>
        <w:spacing w:after="0" w:before="120"/>
      </w:pPr>
      <w:r>
        <w:t xml:space="preserve"/>
      </w:r>
    </w:p>
    <w:tbl>
      <w:tblPr>
        <w:tblW w:type="dxa" w:w="936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360"/>
      </w:tblGrid>
      <w:tr>
        <w:tc>
          <w:tcPr>
            <w:tcW w:type="dxa" w:w="9360"/>
            <w:tcBorders>
              <w:top w:val="single" w:color="1F4E8C" w:sz="8"/>
              <w:left w:val="single" w:color="1F4E8C" w:sz="8"/>
              <w:bottom w:val="single" w:color="1F4E8C" w:sz="8"/>
              <w:right w:val="single" w:color="1F4E8C" w:sz="8"/>
            </w:tcBorders>
            <w:shd w:fill="D6E4F7" w:val="clear"/>
            <w:tcMar>
              <w:top w:type="dxa" w:w="140"/>
              <w:left w:type="dxa" w:w="200"/>
              <w:bottom w:type="dxa" w:w="140"/>
              <w:right w:type="dxa" w:w="200"/>
            </w:tcMar>
          </w:tcPr>
          <w:p>
            <w:pPr>
              <w:spacing w:after="60" w:before="60"/>
            </w:pPr>
            <w:r>
              <w:rPr>
                <w:rFonts w:ascii="Arial" w:cs="Arial" w:eastAsia="Arial" w:hAnsi="Arial"/>
                <w:b/>
                <w:bCs/>
                <w:color w:val="0D2D5E"/>
                <w:sz w:val="22"/>
                <w:szCs w:val="22"/>
              </w:rPr>
              <w:t xml:space="preserve">El principio constitucional de igualdad (Art. 14 CE) exige que dos estudiantes con el mismo nivel de conocimiento tengan las mismas oportunidades de acceso a la universidad, independientemente de donde hayan estudiado.</w:t>
            </w:r>
          </w:p>
          <w:p>
            <w:pPr>
              <w:spacing w:after="60" w:before="60"/>
            </w:pPr>
            <w:r>
              <w:rPr>
                <w:rFonts w:ascii="Arial" w:cs="Arial" w:eastAsia="Arial" w:hAnsi="Arial"/>
                <w:b w:val="false"/>
                <w:bCs w:val="false"/>
                <w:color w:val="0D2D5E"/>
                <w:sz w:val="22"/>
                <w:szCs w:val="22"/>
              </w:rPr>
              <w:t xml:space="preserve">El sistema actual no cumple ese principio.</w:t>
            </w:r>
          </w:p>
        </w:tc>
      </w:tr>
    </w:tbl>
    <w:p>
      <w:pPr>
        <w:spacing w:after="0" w:before="200"/>
      </w:pPr>
      <w:r>
        <w:t xml:space="preserve"/>
      </w:r>
    </w:p>
    <w:p>
      <w:pPr>
        <w:pStyle w:val="Heading1"/>
        <w:pBdr>
          <w:bottom w:val="single" w:color="1F4E8C" w:sz="8" w:space="6"/>
        </w:pBdr>
        <w:spacing w:after="160" w:before="400"/>
      </w:pPr>
      <w:r>
        <w:rPr>
          <w:rFonts w:ascii="Arial" w:cs="Arial" w:eastAsia="Arial" w:hAnsi="Arial"/>
          <w:b/>
          <w:bCs/>
          <w:color w:val="1F4E8C"/>
          <w:sz w:val="30"/>
          <w:szCs w:val="30"/>
        </w:rPr>
        <w:t xml:space="preserve">3. La Propuesta: EBAU Unica con Estandares Comunes</w:t>
      </w:r>
    </w:p>
    <w:p>
      <w:pPr>
        <w:pStyle w:val="Heading2"/>
        <w:spacing w:after="120" w:before="300"/>
      </w:pPr>
      <w:r>
        <w:rPr>
          <w:rFonts w:ascii="Arial" w:cs="Arial" w:eastAsia="Arial" w:hAnsi="Arial"/>
          <w:b/>
          <w:bCs/>
          <w:color w:val="1F4E8C"/>
          <w:sz w:val="26"/>
          <w:szCs w:val="26"/>
        </w:rPr>
        <w:t xml:space="preserve">3.1 Que propone Espana Eficiente</w:t>
      </w:r>
    </w:p>
    <w:p>
      <w:pPr>
        <w:pStyle w:val="ListParagraph"/>
        <w:numPr>
          <w:ilvl w:val="0"/>
          <w:numId w:val="2"/>
        </w:numPr>
        <w:spacing w:after="60" w:before="60"/>
      </w:pPr>
      <w:r>
        <w:rPr>
          <w:rFonts w:ascii="Arial" w:cs="Arial" w:eastAsia="Arial" w:hAnsi="Arial"/>
          <w:b w:val="false"/>
          <w:bCs w:val="false"/>
          <w:sz w:val="22"/>
          <w:szCs w:val="22"/>
        </w:rPr>
        <w:t xml:space="preserve">Una prueba de acceso a la universidad con contenidos, nivel de dificultad y criterios de correccion identicos en todo el territorio nacional.</w:t>
      </w:r>
    </w:p>
    <w:p>
      <w:pPr>
        <w:pStyle w:val="ListParagraph"/>
        <w:numPr>
          <w:ilvl w:val="0"/>
          <w:numId w:val="2"/>
        </w:numPr>
        <w:spacing w:after="60" w:before="60"/>
      </w:pPr>
      <w:r>
        <w:rPr>
          <w:rFonts w:ascii="Arial" w:cs="Arial" w:eastAsia="Arial" w:hAnsi="Arial"/>
          <w:b w:val="false"/>
          <w:bCs w:val="false"/>
          <w:sz w:val="22"/>
          <w:szCs w:val="22"/>
        </w:rPr>
        <w:t xml:space="preserve">Elaborada por una comision tecnica independiente con participacion de las universidades, las comunidades autonomas y expertos en cada materia.</w:t>
      </w:r>
    </w:p>
    <w:p>
      <w:pPr>
        <w:pStyle w:val="ListParagraph"/>
        <w:numPr>
          <w:ilvl w:val="0"/>
          <w:numId w:val="2"/>
        </w:numPr>
        <w:spacing w:after="60" w:before="60"/>
      </w:pPr>
      <w:r>
        <w:rPr>
          <w:rFonts w:ascii="Arial" w:cs="Arial" w:eastAsia="Arial" w:hAnsi="Arial"/>
          <w:b w:val="false"/>
          <w:bCs w:val="false"/>
          <w:sz w:val="22"/>
          <w:szCs w:val="22"/>
        </w:rPr>
        <w:t xml:space="preserve">Corregida de forma anonima y centralizada para eliminar la variabilidad entre correctores de distintas comunidades.</w:t>
      </w:r>
    </w:p>
    <w:p>
      <w:pPr>
        <w:pStyle w:val="ListParagraph"/>
        <w:numPr>
          <w:ilvl w:val="0"/>
          <w:numId w:val="2"/>
        </w:numPr>
        <w:spacing w:after="60" w:before="60"/>
      </w:pPr>
      <w:r>
        <w:rPr>
          <w:rFonts w:ascii="Arial" w:cs="Arial" w:eastAsia="Arial" w:hAnsi="Arial"/>
          <w:b w:val="false"/>
          <w:bCs w:val="false"/>
          <w:sz w:val="22"/>
          <w:szCs w:val="22"/>
        </w:rPr>
        <w:t xml:space="preserve">Compatible con las competencias autonomicas en educacion: los programas de Bachillerato pueden mantener sus particularidades autonomicas, pero la prueba de acceso evalua los contenidos comunes del curriculo nacional.</w:t>
      </w:r>
    </w:p>
    <w:p>
      <w:pPr>
        <w:pStyle w:val="ListParagraph"/>
        <w:numPr>
          <w:ilvl w:val="0"/>
          <w:numId w:val="2"/>
        </w:numPr>
        <w:spacing w:after="60" w:before="60"/>
      </w:pPr>
      <w:r>
        <w:rPr>
          <w:rFonts w:ascii="Arial" w:cs="Arial" w:eastAsia="Arial" w:hAnsi="Arial"/>
          <w:b w:val="false"/>
          <w:bCs w:val="false"/>
          <w:sz w:val="22"/>
          <w:szCs w:val="22"/>
        </w:rPr>
        <w:t xml:space="preserve">Nota unica valida en todo el territorio nacional sin coeficientes de ponderacion distintos por comunidad.</w:t>
      </w:r>
    </w:p>
    <w:p>
      <w:pPr>
        <w:spacing w:after="0" w:before="120"/>
      </w:pPr>
      <w:r>
        <w:t xml:space="preserve"/>
      </w:r>
    </w:p>
    <w:p>
      <w:pPr>
        <w:pStyle w:val="Heading2"/>
        <w:spacing w:after="120" w:before="300"/>
      </w:pPr>
      <w:r>
        <w:rPr>
          <w:rFonts w:ascii="Arial" w:cs="Arial" w:eastAsia="Arial" w:hAnsi="Arial"/>
          <w:b/>
          <w:bCs/>
          <w:color w:val="1F4E8C"/>
          <w:sz w:val="26"/>
          <w:szCs w:val="26"/>
        </w:rPr>
        <w:t xml:space="preserve">3.2 Lo que no cambia</w:t>
      </w:r>
    </w:p>
    <w:p>
      <w:pPr>
        <w:pStyle w:val="ListParagraph"/>
        <w:numPr>
          <w:ilvl w:val="0"/>
          <w:numId w:val="2"/>
        </w:numPr>
        <w:spacing w:after="60" w:before="60"/>
      </w:pPr>
      <w:r>
        <w:rPr>
          <w:rFonts w:ascii="Arial" w:cs="Arial" w:eastAsia="Arial" w:hAnsi="Arial"/>
          <w:b w:val="false"/>
          <w:bCs w:val="false"/>
          <w:sz w:val="22"/>
          <w:szCs w:val="22"/>
        </w:rPr>
        <w:t xml:space="preserve">Las universidades mantienen su autonomia para fijar notas de corte y criterios de admision especificos.</w:t>
      </w:r>
    </w:p>
    <w:p>
      <w:pPr>
        <w:pStyle w:val="ListParagraph"/>
        <w:numPr>
          <w:ilvl w:val="0"/>
          <w:numId w:val="2"/>
        </w:numPr>
        <w:spacing w:after="60" w:before="60"/>
      </w:pPr>
      <w:r>
        <w:rPr>
          <w:rFonts w:ascii="Arial" w:cs="Arial" w:eastAsia="Arial" w:hAnsi="Arial"/>
          <w:b w:val="false"/>
          <w:bCs w:val="false"/>
          <w:sz w:val="22"/>
          <w:szCs w:val="22"/>
        </w:rPr>
        <w:t xml:space="preserve">Las comunidades autonomas mantienen sus competencias en el diseno curricular del Bachillerato.</w:t>
      </w:r>
    </w:p>
    <w:p>
      <w:pPr>
        <w:pStyle w:val="ListParagraph"/>
        <w:numPr>
          <w:ilvl w:val="0"/>
          <w:numId w:val="2"/>
        </w:numPr>
        <w:spacing w:after="60" w:before="60"/>
      </w:pPr>
      <w:r>
        <w:rPr>
          <w:rFonts w:ascii="Arial" w:cs="Arial" w:eastAsia="Arial" w:hAnsi="Arial"/>
          <w:b w:val="false"/>
          <w:bCs w:val="false"/>
          <w:sz w:val="22"/>
          <w:szCs w:val="22"/>
        </w:rPr>
        <w:t xml:space="preserve">Los idiomas cooficiales pueden seguir siendo lengua vehicular en sus territorios.</w:t>
      </w:r>
    </w:p>
    <w:p>
      <w:pPr>
        <w:pStyle w:val="ListParagraph"/>
        <w:numPr>
          <w:ilvl w:val="0"/>
          <w:numId w:val="2"/>
        </w:numPr>
        <w:spacing w:after="60" w:before="60"/>
      </w:pPr>
      <w:r>
        <w:rPr>
          <w:rFonts w:ascii="Arial" w:cs="Arial" w:eastAsia="Arial" w:hAnsi="Arial"/>
          <w:b w:val="false"/>
          <w:bCs w:val="false"/>
          <w:sz w:val="22"/>
          <w:szCs w:val="22"/>
        </w:rPr>
        <w:t xml:space="preserve">Las pruebas de acceso a ciclos formativos de grado superior mantienen su regulacion actual.</w:t>
      </w:r>
    </w:p>
    <w:p>
      <w:pPr>
        <w:spacing w:after="0" w:before="120"/>
      </w:pPr>
      <w:r>
        <w:t xml:space="preserve"/>
      </w:r>
    </w:p>
    <w:tbl>
      <w:tblPr>
        <w:tblW w:type="dxa" w:w="936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2000"/>
        <w:gridCol w:w="3680"/>
        <w:gridCol w:w="3680"/>
      </w:tblGrid>
      <w:tr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1F4E8C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pPr>
              <w:jc w:val="left"/>
            </w:pPr>
            <w:r>
              <w:rPr>
                <w:rFonts w:ascii="Arial" w:cs="Arial" w:eastAsia="Arial" w:hAnsi="Arial"/>
                <w:b/>
                <w:bCs/>
                <w:color w:val="FFFFFF"/>
                <w:sz w:val="20"/>
                <w:szCs w:val="20"/>
              </w:rPr>
              <w:t xml:space="preserve">Aspecto</w:t>
            </w:r>
          </w:p>
        </w:tc>
        <w:tc>
          <w:tcPr>
            <w:tcW w:type="dxa" w:w="368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1F4E8C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pPr>
              <w:jc w:val="left"/>
            </w:pPr>
            <w:r>
              <w:rPr>
                <w:rFonts w:ascii="Arial" w:cs="Arial" w:eastAsia="Arial" w:hAnsi="Arial"/>
                <w:b/>
                <w:bCs/>
                <w:color w:val="FFFFFF"/>
                <w:sz w:val="20"/>
                <w:szCs w:val="20"/>
              </w:rPr>
              <w:t xml:space="preserve">Sistema actual</w:t>
            </w:r>
          </w:p>
        </w:tc>
        <w:tc>
          <w:tcPr>
            <w:tcW w:type="dxa" w:w="368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1F4E8C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pPr>
              <w:jc w:val="left"/>
            </w:pPr>
            <w:r>
              <w:rPr>
                <w:rFonts w:ascii="Arial" w:cs="Arial" w:eastAsia="Arial" w:hAnsi="Arial"/>
                <w:b/>
                <w:bCs/>
                <w:color w:val="FFFFFF"/>
                <w:sz w:val="20"/>
                <w:szCs w:val="20"/>
              </w:rPr>
              <w:t xml:space="preserve">EBAU unica Espana Eficiente</w:t>
            </w:r>
          </w:p>
        </w:tc>
      </w:tr>
      <w:tr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Contenidos del examen</w:t>
            </w:r>
          </w:p>
        </w:tc>
        <w:tc>
          <w:tcPr>
            <w:tcW w:type="dxa" w:w="368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Distintos por comunidad autonoma</w:t>
            </w:r>
          </w:p>
        </w:tc>
        <w:tc>
          <w:tcPr>
            <w:tcW w:type="dxa" w:w="368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Comunes en todo el territorio nacional</w:t>
            </w:r>
          </w:p>
        </w:tc>
      </w:tr>
      <w:tr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2F4F7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Nivel de dificultad</w:t>
            </w:r>
          </w:p>
        </w:tc>
        <w:tc>
          <w:tcPr>
            <w:tcW w:type="dxa" w:w="368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2F4F7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Variable segun comunidad</w:t>
            </w:r>
          </w:p>
        </w:tc>
        <w:tc>
          <w:tcPr>
            <w:tcW w:type="dxa" w:w="368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2F4F7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Identico en toda Espana</w:t>
            </w:r>
          </w:p>
        </w:tc>
      </w:tr>
      <w:tr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Correccion</w:t>
            </w:r>
          </w:p>
        </w:tc>
        <w:tc>
          <w:tcPr>
            <w:tcW w:type="dxa" w:w="368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Por correctores de cada comunidad con criterios propios</w:t>
            </w:r>
          </w:p>
        </w:tc>
        <w:tc>
          <w:tcPr>
            <w:tcW w:type="dxa" w:w="368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Anonima y centralizada con criterios unicos</w:t>
            </w:r>
          </w:p>
        </w:tc>
      </w:tr>
      <w:tr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2F4F7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Validez de la nota</w:t>
            </w:r>
          </w:p>
        </w:tc>
        <w:tc>
          <w:tcPr>
            <w:tcW w:type="dxa" w:w="368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2F4F7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En toda Espana pero con distorsiones por origen</w:t>
            </w:r>
          </w:p>
        </w:tc>
        <w:tc>
          <w:tcPr>
            <w:tcW w:type="dxa" w:w="368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2F4F7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En toda Espana con plena equidad de origen</w:t>
            </w:r>
          </w:p>
        </w:tc>
      </w:tr>
      <w:tr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Competencias autonomicas</w:t>
            </w:r>
          </w:p>
        </w:tc>
        <w:tc>
          <w:tcPr>
            <w:tcW w:type="dxa" w:w="368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Se respetan en el diseno del examen</w:t>
            </w:r>
          </w:p>
        </w:tc>
        <w:tc>
          <w:tcPr>
            <w:tcW w:type="dxa" w:w="368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Se respetan en el curriculo del Bachillerato</w:t>
            </w:r>
          </w:p>
        </w:tc>
      </w:tr>
    </w:tbl>
    <w:p>
      <w:pPr>
        <w:spacing w:after="0" w:before="120"/>
      </w:pPr>
      <w:r>
        <w:t xml:space="preserve"/>
      </w:r>
    </w:p>
    <w:p>
      <w:pPr>
        <w:pStyle w:val="Heading2"/>
        <w:spacing w:after="120" w:before="300"/>
      </w:pPr>
      <w:r>
        <w:rPr>
          <w:rFonts w:ascii="Arial" w:cs="Arial" w:eastAsia="Arial" w:hAnsi="Arial"/>
          <w:b/>
          <w:bCs/>
          <w:color w:val="1F4E8C"/>
          <w:sz w:val="26"/>
          <w:szCs w:val="26"/>
        </w:rPr>
        <w:t xml:space="preserve">3.3 Implementacion</w:t>
      </w:r>
    </w:p>
    <w:p>
      <w:pPr>
        <w:pStyle w:val="ListParagraph"/>
        <w:numPr>
          <w:ilvl w:val="0"/>
          <w:numId w:val="2"/>
        </w:numPr>
        <w:spacing w:after="60" w:before="60"/>
      </w:pPr>
      <w:r>
        <w:rPr>
          <w:rFonts w:ascii="Arial" w:cs="Arial" w:eastAsia="Arial" w:hAnsi="Arial"/>
          <w:b w:val="false"/>
          <w:bCs w:val="false"/>
          <w:sz w:val="22"/>
          <w:szCs w:val="22"/>
        </w:rPr>
        <w:t xml:space="preserve">Fase 1: Comision tecnica independiente Estado-CCAA-Universidades define los estandares comunes por materia. Plazo: 12 meses.</w:t>
      </w:r>
    </w:p>
    <w:p>
      <w:pPr>
        <w:pStyle w:val="ListParagraph"/>
        <w:numPr>
          <w:ilvl w:val="0"/>
          <w:numId w:val="2"/>
        </w:numPr>
        <w:spacing w:after="60" w:before="60"/>
      </w:pPr>
      <w:r>
        <w:rPr>
          <w:rFonts w:ascii="Arial" w:cs="Arial" w:eastAsia="Arial" w:hAnsi="Arial"/>
          <w:b w:val="false"/>
          <w:bCs w:val="false"/>
          <w:sz w:val="22"/>
          <w:szCs w:val="22"/>
        </w:rPr>
        <w:t xml:space="preserve">Fase 2: Piloto en dos convocatorias con evaluacion comparativa respecto al sistema actual. Plazo: 2 anos.</w:t>
      </w:r>
    </w:p>
    <w:p>
      <w:pPr>
        <w:pStyle w:val="ListParagraph"/>
        <w:numPr>
          <w:ilvl w:val="0"/>
          <w:numId w:val="2"/>
        </w:numPr>
        <w:spacing w:after="60" w:before="60"/>
      </w:pPr>
      <w:r>
        <w:rPr>
          <w:rFonts w:ascii="Arial" w:cs="Arial" w:eastAsia="Arial" w:hAnsi="Arial"/>
          <w:b w:val="false"/>
          <w:bCs w:val="false"/>
          <w:sz w:val="22"/>
          <w:szCs w:val="22"/>
        </w:rPr>
        <w:t xml:space="preserve">Fase 3: Implantacion completa con evaluacion anual independiente. Plazo: ano 3 en adelante.</w:t>
      </w:r>
    </w:p>
    <w:p>
      <w:pPr>
        <w:spacing w:after="0" w:before="200"/>
      </w:pPr>
      <w:r>
        <w:t xml:space="preserve"/>
      </w:r>
    </w:p>
    <w:p>
      <w:pPr>
        <w:pStyle w:val="Heading1"/>
        <w:pBdr>
          <w:bottom w:val="single" w:color="1F4E8C" w:sz="8" w:space="6"/>
        </w:pBdr>
        <w:spacing w:after="160" w:before="400"/>
      </w:pPr>
      <w:r>
        <w:rPr>
          <w:rFonts w:ascii="Arial" w:cs="Arial" w:eastAsia="Arial" w:hAnsi="Arial"/>
          <w:b/>
          <w:bCs/>
          <w:color w:val="1F4E8C"/>
          <w:sz w:val="30"/>
          <w:szCs w:val="30"/>
        </w:rPr>
        <w:t xml:space="preserve">PARTE II: FP DIRIGIDA AL EMPLEO REAL</w:t>
      </w:r>
    </w:p>
    <w:p>
      <w:pPr>
        <w:pStyle w:val="Heading1"/>
        <w:pBdr>
          <w:bottom w:val="single" w:color="1F4E8C" w:sz="8" w:space="6"/>
        </w:pBdr>
        <w:spacing w:after="160" w:before="400"/>
      </w:pPr>
      <w:r>
        <w:rPr>
          <w:rFonts w:ascii="Arial" w:cs="Arial" w:eastAsia="Arial" w:hAnsi="Arial"/>
          <w:b/>
          <w:bCs/>
          <w:color w:val="1F4E8C"/>
          <w:sz w:val="30"/>
          <w:szCs w:val="30"/>
        </w:rPr>
        <w:t xml:space="preserve">4. El Problema: Formacion sin Destino</w:t>
      </w:r>
    </w:p>
    <w:p>
      <w:pPr>
        <w:spacing w:after="100" w:before="80"/>
        <w:jc w:val="both"/>
      </w:pPr>
      <w:r>
        <w:rPr>
          <w:rFonts w:ascii="Arial" w:cs="Arial" w:eastAsia="Arial" w:hAnsi="Arial"/>
          <w:sz w:val="22"/>
          <w:szCs w:val="22"/>
        </w:rPr>
        <w:t xml:space="preserve">Espana tiene una paradoja educativa y laboral que deberia resultar inaceptable:</w:t>
      </w:r>
    </w:p>
    <w:p>
      <w:pPr>
        <w:spacing w:after="0" w:before="100"/>
      </w:pPr>
      <w:r>
        <w:t xml:space="preserve"/>
      </w:r>
    </w:p>
    <w:tbl>
      <w:tblPr>
        <w:tblW w:type="dxa" w:w="936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2800"/>
        <w:gridCol w:w="6560"/>
      </w:tblGrid>
      <w:tr>
        <w:tc>
          <w:tcPr>
            <w:tcW w:type="dxa" w:w="2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1F4E8C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pPr>
              <w:jc w:val="left"/>
            </w:pPr>
            <w:r>
              <w:rPr>
                <w:rFonts w:ascii="Arial" w:cs="Arial" w:eastAsia="Arial" w:hAnsi="Arial"/>
                <w:b/>
                <w:bCs/>
                <w:color w:val="FFFFFF"/>
                <w:sz w:val="20"/>
                <w:szCs w:val="20"/>
              </w:rPr>
              <w:t xml:space="preserve">El problema</w:t>
            </w:r>
          </w:p>
        </w:tc>
        <w:tc>
          <w:tcPr>
            <w:tcW w:type="dxa" w:w="65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1F4E8C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pPr>
              <w:jc w:val="left"/>
            </w:pPr>
            <w:r>
              <w:rPr>
                <w:rFonts w:ascii="Arial" w:cs="Arial" w:eastAsia="Arial" w:hAnsi="Arial"/>
                <w:b/>
                <w:bCs/>
                <w:color w:val="FFFFFF"/>
                <w:sz w:val="20"/>
                <w:szCs w:val="20"/>
              </w:rPr>
              <w:t xml:space="preserve">Datos</w:t>
            </w:r>
          </w:p>
        </w:tc>
      </w:tr>
      <w:tr>
        <w:tc>
          <w:tcPr>
            <w:tcW w:type="dxa" w:w="2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Desempleo juvenil en Espana</w:t>
            </w:r>
          </w:p>
        </w:tc>
        <w:tc>
          <w:tcPr>
            <w:tcW w:type="dxa" w:w="65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Segundo mas alto de la Union Europea. Mas del 25% en determinados periodos y regiones.</w:t>
            </w:r>
          </w:p>
        </w:tc>
      </w:tr>
      <w:tr>
        <w:tc>
          <w:tcPr>
            <w:tcW w:type="dxa" w:w="2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2F4F7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Sectores con escasez de tecnicos cualificados</w:t>
            </w:r>
          </w:p>
        </w:tc>
        <w:tc>
          <w:tcPr>
            <w:tcW w:type="dxa" w:w="65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2F4F7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Electricidad, fontaneria, soldadura, mecanica, programacion, ciberseguridad, cuidados, logistica, construccion modular.</w:t>
            </w:r>
          </w:p>
        </w:tc>
      </w:tr>
      <w:tr>
        <w:tc>
          <w:tcPr>
            <w:tcW w:type="dxa" w:w="2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Causa principal</w:t>
            </w:r>
          </w:p>
        </w:tc>
        <w:tc>
          <w:tcPr>
            <w:tcW w:type="dxa" w:w="65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La FP actual forma para titulos genericos, no para los perfiles especificos que las empresas necesitan en tiempo real.</w:t>
            </w:r>
          </w:p>
        </w:tc>
      </w:tr>
      <w:tr>
        <w:tc>
          <w:tcPr>
            <w:tcW w:type="dxa" w:w="2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2F4F7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Resultado</w:t>
            </w:r>
          </w:p>
        </w:tc>
        <w:tc>
          <w:tcPr>
            <w:tcW w:type="dxa" w:w="65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2F4F7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Jovenes en paro + empresas sin cubrir. Desajuste estructural entre oferta formativa y demanda laboral real.</w:t>
            </w:r>
          </w:p>
        </w:tc>
      </w:tr>
    </w:tbl>
    <w:p>
      <w:pPr>
        <w:spacing w:after="0" w:before="120"/>
      </w:pPr>
      <w:r>
        <w:t xml:space="preserve"/>
      </w:r>
    </w:p>
    <w:p>
      <w:pPr>
        <w:pStyle w:val="ListParagraph"/>
        <w:numPr>
          <w:ilvl w:val="0"/>
          <w:numId w:val="2"/>
        </w:numPr>
        <w:spacing w:after="60" w:before="60"/>
      </w:pPr>
      <w:r>
        <w:rPr>
          <w:rFonts w:ascii="Arial" w:cs="Arial" w:eastAsia="Arial" w:hAnsi="Arial"/>
          <w:b w:val="false"/>
          <w:bCs w:val="false"/>
          <w:sz w:val="22"/>
          <w:szCs w:val="22"/>
        </w:rPr>
        <w:t xml:space="preserve">La FP tiene una imagen historicamente asociada al fracaso escolar en Espana, cuando en Alemania, Austria o Suiza es la via de formacion mas valorada por las empresas y con mejores tasas de empleo inmediato.</w:t>
      </w:r>
    </w:p>
    <w:p>
      <w:pPr>
        <w:pStyle w:val="ListParagraph"/>
        <w:numPr>
          <w:ilvl w:val="0"/>
          <w:numId w:val="2"/>
        </w:numPr>
        <w:spacing w:after="60" w:before="60"/>
      </w:pPr>
      <w:r>
        <w:rPr>
          <w:rFonts w:ascii="Arial" w:cs="Arial" w:eastAsia="Arial" w:hAnsi="Arial"/>
          <w:b w:val="false"/>
          <w:bCs w:val="false"/>
          <w:sz w:val="22"/>
          <w:szCs w:val="22"/>
        </w:rPr>
        <w:t xml:space="preserve">Los ciclos formativos actuales se disenan con criterios academicos y burocraticos, no con criterios de demanda laboral. Una empresa no puede influir facilmente en los contenidos de un ciclo para adaptarlos a sus necesidades reales.</w:t>
      </w:r>
    </w:p>
    <w:p>
      <w:pPr>
        <w:pStyle w:val="ListParagraph"/>
        <w:numPr>
          <w:ilvl w:val="0"/>
          <w:numId w:val="2"/>
        </w:numPr>
        <w:spacing w:after="60" w:before="60"/>
      </w:pPr>
      <w:r>
        <w:rPr>
          <w:rFonts w:ascii="Arial" w:cs="Arial" w:eastAsia="Arial" w:hAnsi="Arial"/>
          <w:b w:val="false"/>
          <w:bCs w:val="false"/>
          <w:sz w:val="22"/>
          <w:szCs w:val="22"/>
        </w:rPr>
        <w:t xml:space="preserve">Las practicas en empresa (FCT) son insuficientes en duracion y calidad. En muchos casos son un tramite, no una inmersion real en el puesto de trabajo.</w:t>
      </w:r>
    </w:p>
    <w:p>
      <w:pPr>
        <w:pStyle w:val="ListParagraph"/>
        <w:numPr>
          <w:ilvl w:val="0"/>
          <w:numId w:val="2"/>
        </w:numPr>
        <w:spacing w:after="60" w:before="60"/>
      </w:pPr>
      <w:r>
        <w:rPr>
          <w:rFonts w:ascii="Arial" w:cs="Arial" w:eastAsia="Arial" w:hAnsi="Arial"/>
          <w:b w:val="false"/>
          <w:bCs w:val="false"/>
          <w:sz w:val="22"/>
          <w:szCs w:val="22"/>
        </w:rPr>
        <w:t xml:space="preserve">No existe un sistema de actualizacion rapida de la oferta formativa ante cambios tecnologicos o de mercado. Un sector puede tardar anos en ver reflejada su necesidad en un ciclo formativo nuevo.</w:t>
      </w:r>
    </w:p>
    <w:p>
      <w:pPr>
        <w:spacing w:after="0" w:before="200"/>
      </w:pPr>
      <w:r>
        <w:t xml:space="preserve"/>
      </w:r>
    </w:p>
    <w:p>
      <w:pPr>
        <w:pStyle w:val="Heading1"/>
        <w:pBdr>
          <w:bottom w:val="single" w:color="1F4E8C" w:sz="8" w:space="6"/>
        </w:pBdr>
        <w:spacing w:after="160" w:before="400"/>
      </w:pPr>
      <w:r>
        <w:rPr>
          <w:rFonts w:ascii="Arial" w:cs="Arial" w:eastAsia="Arial" w:hAnsi="Arial"/>
          <w:b/>
          <w:bCs/>
          <w:color w:val="1F4E8C"/>
          <w:sz w:val="30"/>
          <w:szCs w:val="30"/>
        </w:rPr>
        <w:t xml:space="preserve">5. La Propuesta: FP Radicalmente Orientada al Mercado</w:t>
      </w:r>
    </w:p>
    <w:p>
      <w:pPr>
        <w:pStyle w:val="Heading2"/>
        <w:spacing w:after="120" w:before="300"/>
      </w:pPr>
      <w:r>
        <w:rPr>
          <w:rFonts w:ascii="Arial" w:cs="Arial" w:eastAsia="Arial" w:hAnsi="Arial"/>
          <w:b/>
          <w:bCs/>
          <w:color w:val="1F4E8C"/>
          <w:sz w:val="26"/>
          <w:szCs w:val="26"/>
        </w:rPr>
        <w:t xml:space="preserve">5.1 Cinco reformas estructurales</w:t>
      </w:r>
    </w:p>
    <w:p>
      <w:pPr>
        <w:spacing w:after="0" w:before="100"/>
      </w:pPr>
      <w:r>
        <w:t xml:space="preserve"/>
      </w:r>
    </w:p>
    <w:tbl>
      <w:tblPr>
        <w:tblW w:type="dxa" w:w="936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2000"/>
        <w:gridCol w:w="3480"/>
        <w:gridCol w:w="3880"/>
      </w:tblGrid>
      <w:tr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1F4E8C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pPr>
              <w:jc w:val="left"/>
            </w:pPr>
            <w:r>
              <w:rPr>
                <w:rFonts w:ascii="Arial" w:cs="Arial" w:eastAsia="Arial" w:hAnsi="Arial"/>
                <w:b/>
                <w:bCs/>
                <w:color w:val="FFFFFF"/>
                <w:sz w:val="20"/>
                <w:szCs w:val="20"/>
              </w:rPr>
              <w:t xml:space="preserve">Reforma</w:t>
            </w:r>
          </w:p>
        </w:tc>
        <w:tc>
          <w:tcPr>
            <w:tcW w:type="dxa" w:w="348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1F4E8C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pPr>
              <w:jc w:val="left"/>
            </w:pPr>
            <w:r>
              <w:rPr>
                <w:rFonts w:ascii="Arial" w:cs="Arial" w:eastAsia="Arial" w:hAnsi="Arial"/>
                <w:b/>
                <w:bCs/>
                <w:color w:val="FFFFFF"/>
                <w:sz w:val="20"/>
                <w:szCs w:val="20"/>
              </w:rPr>
              <w:t xml:space="preserve">Descripcion</w:t>
            </w:r>
          </w:p>
        </w:tc>
        <w:tc>
          <w:tcPr>
            <w:tcW w:type="dxa" w:w="388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1F4E8C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pPr>
              <w:jc w:val="left"/>
            </w:pPr>
            <w:r>
              <w:rPr>
                <w:rFonts w:ascii="Arial" w:cs="Arial" w:eastAsia="Arial" w:hAnsi="Arial"/>
                <w:b/>
                <w:bCs/>
                <w:color w:val="FFFFFF"/>
                <w:sz w:val="20"/>
                <w:szCs w:val="20"/>
              </w:rPr>
              <w:t xml:space="preserve">Objetivo</w:t>
            </w:r>
          </w:p>
        </w:tc>
      </w:tr>
      <w:tr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Mapa de necesidades laborales en tiempo real</w:t>
            </w:r>
          </w:p>
        </w:tc>
        <w:tc>
          <w:tcPr>
            <w:tcW w:type="dxa" w:w="348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Sistema nacional de datos que cruza ofertas de empleo sin cubrir, proyecciones sectoriales y tendencias tecnologicas. Actualizado trimestralmente.</w:t>
            </w:r>
          </w:p>
        </w:tc>
        <w:tc>
          <w:tcPr>
            <w:tcW w:type="dxa" w:w="388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Disenar la oferta de FP en funcion de donde hay empleo real, no de inercias burocraticas.</w:t>
            </w:r>
          </w:p>
        </w:tc>
      </w:tr>
      <w:tr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2F4F7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Ciclos cortos de especializacion rapida</w:t>
            </w:r>
          </w:p>
        </w:tc>
        <w:tc>
          <w:tcPr>
            <w:tcW w:type="dxa" w:w="348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2F4F7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Certificados de profesionalidad de 3 a 6 meses para perfiles especificos con alta demanda. Complementarios a los ciclos formativos de 2 anos.</w:t>
            </w:r>
          </w:p>
        </w:tc>
        <w:tc>
          <w:tcPr>
            <w:tcW w:type="dxa" w:w="388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2F4F7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Respuesta rapida ante necesidades urgentes del mercado sin esperar a reformar ciclos completos.</w:t>
            </w:r>
          </w:p>
        </w:tc>
      </w:tr>
      <w:tr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Empresa como co-disenadora del curriculo</w:t>
            </w:r>
          </w:p>
        </w:tc>
        <w:tc>
          <w:tcPr>
            <w:tcW w:type="dxa" w:w="348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Las empresas del sector participan en el diseno de los contenidos de los ciclos formativos de su area. Sus necesidades reales se reflejan en el programa.</w:t>
            </w:r>
          </w:p>
        </w:tc>
        <w:tc>
          <w:tcPr>
            <w:tcW w:type="dxa" w:w="388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Eliminar el desajuste entre lo que se ensena y lo que se necesita en el puesto de trabajo.</w:t>
            </w:r>
          </w:p>
        </w:tc>
      </w:tr>
      <w:tr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2F4F7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FP Dual reforzada</w:t>
            </w:r>
          </w:p>
        </w:tc>
        <w:tc>
          <w:tcPr>
            <w:tcW w:type="dxa" w:w="348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2F4F7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Extension del modelo de FP Dual (alternancia empresa-centro formativo) a todos los ciclos de grado medio y superior. Minimo 40% del tiempo en empresa.</w:t>
            </w:r>
          </w:p>
        </w:tc>
        <w:tc>
          <w:tcPr>
            <w:tcW w:type="dxa" w:w="388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2F4F7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El alumno aprende en el puesto real. La empresa forma al trabajador que necesita. Insercion laboral casi garantizada al terminar.</w:t>
            </w:r>
          </w:p>
        </w:tc>
      </w:tr>
      <w:tr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Reconocimiento de experiencia laboral</w:t>
            </w:r>
          </w:p>
        </w:tc>
        <w:tc>
          <w:tcPr>
            <w:tcW w:type="dxa" w:w="348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Sistema de certificacion oficial de competencias adquiridas por experiencia laboral sin titulo formal. Especialmente relevante para mayores de 40 sin titulacion pero con anos de oficio.</w:t>
            </w:r>
          </w:p>
        </w:tc>
        <w:tc>
          <w:tcPr>
            <w:tcW w:type="dxa" w:w="388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Poner en valor el conocimiento practico. Conecta con el Plan +50 de Espana Eficiente.</w:t>
            </w:r>
          </w:p>
        </w:tc>
      </w:tr>
    </w:tbl>
    <w:p>
      <w:pPr>
        <w:spacing w:after="0" w:before="140"/>
      </w:pPr>
      <w:r>
        <w:t xml:space="preserve"/>
      </w:r>
    </w:p>
    <w:p>
      <w:pPr>
        <w:pStyle w:val="Heading2"/>
        <w:spacing w:after="120" w:before="300"/>
      </w:pPr>
      <w:r>
        <w:rPr>
          <w:rFonts w:ascii="Arial" w:cs="Arial" w:eastAsia="Arial" w:hAnsi="Arial"/>
          <w:b/>
          <w:bCs/>
          <w:color w:val="1F4E8C"/>
          <w:sz w:val="26"/>
          <w:szCs w:val="26"/>
        </w:rPr>
        <w:t xml:space="preserve">5.2 Conexion empresa-universidad</w:t>
      </w:r>
    </w:p>
    <w:p>
      <w:pPr>
        <w:spacing w:after="100" w:before="80"/>
        <w:jc w:val="both"/>
      </w:pPr>
      <w:r>
        <w:rPr>
          <w:rFonts w:ascii="Arial" w:cs="Arial" w:eastAsia="Arial" w:hAnsi="Arial"/>
          <w:sz w:val="22"/>
          <w:szCs w:val="22"/>
        </w:rPr>
        <w:t xml:space="preserve">La FP no puede estar desconectada de la universidad ni del mundo empresarial. Espana Eficiente propone puentes estructurales:</w:t>
      </w:r>
    </w:p>
    <w:p>
      <w:pPr>
        <w:spacing w:after="0" w:before="80"/>
      </w:pPr>
      <w:r>
        <w:t xml:space="preserve"/>
      </w:r>
    </w:p>
    <w:p>
      <w:pPr>
        <w:pStyle w:val="ListParagraph"/>
        <w:numPr>
          <w:ilvl w:val="0"/>
          <w:numId w:val="2"/>
        </w:numPr>
        <w:spacing w:after="60" w:before="60"/>
      </w:pPr>
      <w:r>
        <w:rPr>
          <w:rFonts w:ascii="Arial" w:cs="Arial" w:eastAsia="Arial" w:hAnsi="Arial"/>
          <w:b w:val="false"/>
          <w:bCs w:val="false"/>
          <w:sz w:val="22"/>
          <w:szCs w:val="22"/>
        </w:rPr>
        <w:t xml:space="preserve">Pasarelas directas entre ciclos formativos de grado superior y primeros cursos universitarios de las mismas ramas. El tecnico superior que quiere seguir estudiando no empieza desde cero.</w:t>
      </w:r>
    </w:p>
    <w:p>
      <w:pPr>
        <w:pStyle w:val="ListParagraph"/>
        <w:numPr>
          <w:ilvl w:val="0"/>
          <w:numId w:val="2"/>
        </w:numPr>
        <w:spacing w:after="60" w:before="60"/>
      </w:pPr>
      <w:r>
        <w:rPr>
          <w:rFonts w:ascii="Arial" w:cs="Arial" w:eastAsia="Arial" w:hAnsi="Arial"/>
          <w:b w:val="false"/>
          <w:bCs w:val="false"/>
          <w:sz w:val="22"/>
          <w:szCs w:val="22"/>
        </w:rPr>
        <w:t xml:space="preserve">Convenios estructurales entre centros de FP y empresas locales con compromisos de contratacion para los mejores graduados.</w:t>
      </w:r>
    </w:p>
    <w:p>
      <w:pPr>
        <w:pStyle w:val="ListParagraph"/>
        <w:numPr>
          <w:ilvl w:val="0"/>
          <w:numId w:val="2"/>
        </w:numPr>
        <w:spacing w:after="60" w:before="60"/>
      </w:pPr>
      <w:r>
        <w:rPr>
          <w:rFonts w:ascii="Arial" w:cs="Arial" w:eastAsia="Arial" w:hAnsi="Arial"/>
          <w:b w:val="false"/>
          <w:bCs w:val="false"/>
          <w:sz w:val="22"/>
          <w:szCs w:val="22"/>
        </w:rPr>
        <w:t xml:space="preserve">Incubadoras de emprendimiento en centros de FP para los tecnicos que quieren crear su propia empresa en su oficio.</w:t>
      </w:r>
    </w:p>
    <w:p>
      <w:pPr>
        <w:pStyle w:val="ListParagraph"/>
        <w:numPr>
          <w:ilvl w:val="0"/>
          <w:numId w:val="2"/>
        </w:numPr>
        <w:spacing w:after="60" w:before="60"/>
      </w:pPr>
      <w:r>
        <w:rPr>
          <w:rFonts w:ascii="Arial" w:cs="Arial" w:eastAsia="Arial" w:hAnsi="Arial"/>
          <w:b w:val="false"/>
          <w:bCs w:val="false"/>
          <w:sz w:val="22"/>
          <w:szCs w:val="22"/>
        </w:rPr>
        <w:t xml:space="preserve">Bolsas de empleo especificas por ciclo con acceso directo de empresas del sector.</w:t>
      </w:r>
    </w:p>
    <w:p>
      <w:pPr>
        <w:spacing w:after="0" w:before="140"/>
      </w:pPr>
      <w:r>
        <w:t xml:space="preserve"/>
      </w:r>
    </w:p>
    <w:p>
      <w:pPr>
        <w:pStyle w:val="Heading2"/>
        <w:spacing w:after="120" w:before="300"/>
      </w:pPr>
      <w:r>
        <w:rPr>
          <w:rFonts w:ascii="Arial" w:cs="Arial" w:eastAsia="Arial" w:hAnsi="Arial"/>
          <w:b/>
          <w:bCs/>
          <w:color w:val="1F4E8C"/>
          <w:sz w:val="26"/>
          <w:szCs w:val="26"/>
        </w:rPr>
        <w:t xml:space="preserve">5.3 Cambio de imagen y valoracion social</w:t>
      </w:r>
    </w:p>
    <w:p>
      <w:pPr>
        <w:spacing w:after="100" w:before="80"/>
        <w:jc w:val="both"/>
      </w:pPr>
      <w:r>
        <w:rPr>
          <w:rFonts w:ascii="Arial" w:cs="Arial" w:eastAsia="Arial" w:hAnsi="Arial"/>
          <w:sz w:val="22"/>
          <w:szCs w:val="22"/>
        </w:rPr>
        <w:t xml:space="preserve">La FP no puede crecer si la sociedad la sigue percibiendo como segunda opcion. Espana Eficiente propone:</w:t>
      </w:r>
    </w:p>
    <w:p>
      <w:pPr>
        <w:spacing w:after="0" w:before="80"/>
      </w:pPr>
      <w:r>
        <w:t xml:space="preserve"/>
      </w:r>
    </w:p>
    <w:p>
      <w:pPr>
        <w:pStyle w:val="ListParagraph"/>
        <w:numPr>
          <w:ilvl w:val="0"/>
          <w:numId w:val="2"/>
        </w:numPr>
        <w:spacing w:after="60" w:before="60"/>
      </w:pPr>
      <w:r>
        <w:rPr>
          <w:rFonts w:ascii="Arial" w:cs="Arial" w:eastAsia="Arial" w:hAnsi="Arial"/>
          <w:b w:val="false"/>
          <w:bCs w:val="false"/>
          <w:sz w:val="22"/>
          <w:szCs w:val="22"/>
        </w:rPr>
        <w:t xml:space="preserve">Campana nacional de comunicacion que muestre los salarios reales, las tasas de empleo y las trayectorias profesionales de los tecnicos de FP en sectores de alta demanda.</w:t>
      </w:r>
    </w:p>
    <w:p>
      <w:pPr>
        <w:pStyle w:val="ListParagraph"/>
        <w:numPr>
          <w:ilvl w:val="0"/>
          <w:numId w:val="2"/>
        </w:numPr>
        <w:spacing w:after="60" w:before="60"/>
      </w:pPr>
      <w:r>
        <w:rPr>
          <w:rFonts w:ascii="Arial" w:cs="Arial" w:eastAsia="Arial" w:hAnsi="Arial"/>
          <w:b w:val="false"/>
          <w:bCs w:val="false"/>
          <w:sz w:val="22"/>
          <w:szCs w:val="22"/>
        </w:rPr>
        <w:t xml:space="preserve">Publicacion anual de las tasas de insercion laboral por ciclo y por territorio, para que los jovenes y sus familias puedan elegir con informacion real.</w:t>
      </w:r>
    </w:p>
    <w:p>
      <w:pPr>
        <w:pStyle w:val="ListParagraph"/>
        <w:numPr>
          <w:ilvl w:val="0"/>
          <w:numId w:val="2"/>
        </w:numPr>
        <w:spacing w:after="60" w:before="60"/>
      </w:pPr>
      <w:r>
        <w:rPr>
          <w:rFonts w:ascii="Arial" w:cs="Arial" w:eastAsia="Arial" w:hAnsi="Arial"/>
          <w:b w:val="false"/>
          <w:bCs w:val="false"/>
          <w:sz w:val="22"/>
          <w:szCs w:val="22"/>
        </w:rPr>
        <w:t xml:space="preserve">Incentivos fiscales adicionales para empresas que contraten titulados de FP dual y mantengan el contrato mas de 24 meses.</w:t>
      </w:r>
    </w:p>
    <w:p>
      <w:pPr>
        <w:spacing w:after="0" w:before="200"/>
      </w:pPr>
      <w:r>
        <w:t xml:space="preserve"/>
      </w:r>
    </w:p>
    <w:p>
      <w:pPr>
        <w:pStyle w:val="Heading1"/>
        <w:pBdr>
          <w:bottom w:val="single" w:color="1F4E8C" w:sz="8" w:space="6"/>
        </w:pBdr>
        <w:spacing w:after="160" w:before="400"/>
      </w:pPr>
      <w:r>
        <w:rPr>
          <w:rFonts w:ascii="Arial" w:cs="Arial" w:eastAsia="Arial" w:hAnsi="Arial"/>
          <w:b/>
          <w:bCs/>
          <w:color w:val="1F4E8C"/>
          <w:sz w:val="30"/>
          <w:szCs w:val="30"/>
        </w:rPr>
        <w:t xml:space="preserve">6. Impacto Esperado</w:t>
      </w:r>
    </w:p>
    <w:p>
      <w:pPr>
        <w:spacing w:after="0" w:before="80"/>
      </w:pPr>
      <w:r>
        <w:t xml:space="preserve"/>
      </w:r>
    </w:p>
    <w:tbl>
      <w:tblPr>
        <w:tblW w:type="dxa" w:w="936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2400"/>
        <w:gridCol w:w="2880"/>
        <w:gridCol w:w="4080"/>
      </w:tblGrid>
      <w:tr>
        <w:tc>
          <w:tcPr>
            <w:tcW w:type="dxa" w:w="24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1F4E8C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pPr>
              <w:jc w:val="left"/>
            </w:pPr>
            <w:r>
              <w:rPr>
                <w:rFonts w:ascii="Arial" w:cs="Arial" w:eastAsia="Arial" w:hAnsi="Arial"/>
                <w:b/>
                <w:bCs/>
                <w:color w:val="FFFFFF"/>
                <w:sz w:val="20"/>
                <w:szCs w:val="20"/>
              </w:rPr>
              <w:t xml:space="preserve">Indicador</w:t>
            </w:r>
          </w:p>
        </w:tc>
        <w:tc>
          <w:tcPr>
            <w:tcW w:type="dxa" w:w="288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1F4E8C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pPr>
              <w:jc w:val="left"/>
            </w:pPr>
            <w:r>
              <w:rPr>
                <w:rFonts w:ascii="Arial" w:cs="Arial" w:eastAsia="Arial" w:hAnsi="Arial"/>
                <w:b/>
                <w:bCs/>
                <w:color w:val="FFFFFF"/>
                <w:sz w:val="20"/>
                <w:szCs w:val="20"/>
              </w:rPr>
              <w:t xml:space="preserve">Situacion actual</w:t>
            </w:r>
          </w:p>
        </w:tc>
        <w:tc>
          <w:tcPr>
            <w:tcW w:type="dxa" w:w="408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1F4E8C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pPr>
              <w:jc w:val="left"/>
            </w:pPr>
            <w:r>
              <w:rPr>
                <w:rFonts w:ascii="Arial" w:cs="Arial" w:eastAsia="Arial" w:hAnsi="Arial"/>
                <w:b/>
                <w:bCs/>
                <w:color w:val="FFFFFF"/>
                <w:sz w:val="20"/>
                <w:szCs w:val="20"/>
              </w:rPr>
              <w:t xml:space="preserve">Meta con Espana Eficiente</w:t>
            </w:r>
          </w:p>
        </w:tc>
      </w:tr>
      <w:tr>
        <w:tc>
          <w:tcPr>
            <w:tcW w:type="dxa" w:w="24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Tasa de insercion laboral en FP Dual</w:t>
            </w:r>
          </w:p>
        </w:tc>
        <w:tc>
          <w:tcPr>
            <w:tcW w:type="dxa" w:w="288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Variable. Media nacional insuficiente.</w:t>
            </w:r>
          </w:p>
        </w:tc>
        <w:tc>
          <w:tcPr>
            <w:tcW w:type="dxa" w:w="408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Superior al 85% en 3 anos desde la reforma.</w:t>
            </w:r>
          </w:p>
        </w:tc>
      </w:tr>
      <w:tr>
        <w:tc>
          <w:tcPr>
            <w:tcW w:type="dxa" w:w="24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2F4F7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Desempleo juvenil</w:t>
            </w:r>
          </w:p>
        </w:tc>
        <w:tc>
          <w:tcPr>
            <w:tcW w:type="dxa" w:w="288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2F4F7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Segundo mas alto de la UE</w:t>
            </w:r>
          </w:p>
        </w:tc>
        <w:tc>
          <w:tcPr>
            <w:tcW w:type="dxa" w:w="408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2F4F7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Reduccion del 30% en 5 anos en los sectores con ciclos reformados.</w:t>
            </w:r>
          </w:p>
        </w:tc>
      </w:tr>
      <w:tr>
        <w:tc>
          <w:tcPr>
            <w:tcW w:type="dxa" w:w="24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Empresas con dificultad para cubrir perfiles tecnicos</w:t>
            </w:r>
          </w:p>
        </w:tc>
        <w:tc>
          <w:tcPr>
            <w:tcW w:type="dxa" w:w="288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Muy alto en sectores estrategicos</w:t>
            </w:r>
          </w:p>
        </w:tc>
        <w:tc>
          <w:tcPr>
            <w:tcW w:type="dxa" w:w="408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Reduccion del 40% en los sectores con FP Dual reforzada.</w:t>
            </w:r>
          </w:p>
        </w:tc>
      </w:tr>
      <w:tr>
        <w:tc>
          <w:tcPr>
            <w:tcW w:type="dxa" w:w="24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2F4F7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Ciclos con participacion activa de empresas en el diseno</w:t>
            </w:r>
          </w:p>
        </w:tc>
        <w:tc>
          <w:tcPr>
            <w:tcW w:type="dxa" w:w="288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2F4F7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Minoritario</w:t>
            </w:r>
          </w:p>
        </w:tc>
        <w:tc>
          <w:tcPr>
            <w:tcW w:type="dxa" w:w="408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2F4F7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100% de los ciclos en 5 anos.</w:t>
            </w:r>
          </w:p>
        </w:tc>
      </w:tr>
      <w:tr>
        <w:tc>
          <w:tcPr>
            <w:tcW w:type="dxa" w:w="24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Jovenes en FP Dual</w:t>
            </w:r>
          </w:p>
        </w:tc>
        <w:tc>
          <w:tcPr>
            <w:tcW w:type="dxa" w:w="288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Minoria del total de matriculados en FP</w:t>
            </w:r>
          </w:p>
        </w:tc>
        <w:tc>
          <w:tcPr>
            <w:tcW w:type="dxa" w:w="408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Mayoria en 5 anos.</w:t>
            </w:r>
          </w:p>
        </w:tc>
      </w:tr>
    </w:tbl>
    <w:p>
      <w:pPr>
        <w:spacing w:after="0" w:before="200"/>
      </w:pPr>
      <w:r>
        <w:t xml:space="preserve"/>
      </w:r>
    </w:p>
    <w:p>
      <w:pPr>
        <w:pStyle w:val="Heading1"/>
        <w:pBdr>
          <w:bottom w:val="single" w:color="1F4E8C" w:sz="8" w:space="6"/>
        </w:pBdr>
        <w:spacing w:after="160" w:before="400"/>
      </w:pPr>
      <w:r>
        <w:rPr>
          <w:rFonts w:ascii="Arial" w:cs="Arial" w:eastAsia="Arial" w:hAnsi="Arial"/>
          <w:b/>
          <w:bCs/>
          <w:color w:val="1F4E8C"/>
          <w:sz w:val="30"/>
          <w:szCs w:val="30"/>
        </w:rPr>
        <w:t xml:space="preserve">7. Base Legal</w:t>
      </w:r>
    </w:p>
    <w:p>
      <w:pPr>
        <w:spacing w:after="0" w:before="80"/>
      </w:pPr>
      <w:r>
        <w:t xml:space="preserve"/>
      </w:r>
    </w:p>
    <w:tbl>
      <w:tblPr>
        <w:tblW w:type="dxa" w:w="936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2400"/>
        <w:gridCol w:w="6960"/>
      </w:tblGrid>
      <w:tr>
        <w:tc>
          <w:tcPr>
            <w:tcW w:type="dxa" w:w="24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1F4E8C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pPr>
              <w:jc w:val="left"/>
            </w:pPr>
            <w:r>
              <w:rPr>
                <w:rFonts w:ascii="Arial" w:cs="Arial" w:eastAsia="Arial" w:hAnsi="Arial"/>
                <w:b/>
                <w:bCs/>
                <w:color w:val="FFFFFF"/>
                <w:sz w:val="20"/>
                <w:szCs w:val="20"/>
              </w:rPr>
              <w:t xml:space="preserve">Elemento</w:t>
            </w:r>
          </w:p>
        </w:tc>
        <w:tc>
          <w:tcPr>
            <w:tcW w:type="dxa" w:w="69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1F4E8C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pPr>
              <w:jc w:val="left"/>
            </w:pPr>
            <w:r>
              <w:rPr>
                <w:rFonts w:ascii="Arial" w:cs="Arial" w:eastAsia="Arial" w:hAnsi="Arial"/>
                <w:b/>
                <w:bCs/>
                <w:color w:val="FFFFFF"/>
                <w:sz w:val="20"/>
                <w:szCs w:val="20"/>
              </w:rPr>
              <w:t xml:space="preserve">Marco legal</w:t>
            </w:r>
          </w:p>
        </w:tc>
      </w:tr>
      <w:tr>
        <w:tc>
          <w:tcPr>
            <w:tcW w:type="dxa" w:w="24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Igualdad en el acceso a la educacion</w:t>
            </w:r>
          </w:p>
        </w:tc>
        <w:tc>
          <w:tcPr>
            <w:tcW w:type="dxa" w:w="69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Art. 14 CE y Art. 27 CE. Base constitucional de la EBAU unica.</w:t>
            </w:r>
          </w:p>
        </w:tc>
      </w:tr>
      <w:tr>
        <w:tc>
          <w:tcPr>
            <w:tcW w:type="dxa" w:w="24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2F4F7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Regulacion de condiciones basicas del sistema educativo</w:t>
            </w:r>
          </w:p>
        </w:tc>
        <w:tc>
          <w:tcPr>
            <w:tcW w:type="dxa" w:w="69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2F4F7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Art. 149.1.30 CE. Competencia estatal para garantizar estandares comunes.</w:t>
            </w:r>
          </w:p>
        </w:tc>
      </w:tr>
      <w:tr>
        <w:tc>
          <w:tcPr>
            <w:tcW w:type="dxa" w:w="24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Marco educativo general</w:t>
            </w:r>
          </w:p>
        </w:tc>
        <w:tc>
          <w:tcPr>
            <w:tcW w:type="dxa" w:w="69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Ley Organica 2/2006 LOE. Ley Organica 3/2020 LOMLOE.</w:t>
            </w:r>
          </w:p>
        </w:tc>
      </w:tr>
      <w:tr>
        <w:tc>
          <w:tcPr>
            <w:tcW w:type="dxa" w:w="24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2F4F7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Formacion Profesional</w:t>
            </w:r>
          </w:p>
        </w:tc>
        <w:tc>
          <w:tcPr>
            <w:tcW w:type="dxa" w:w="69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2F4F7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Ley Organica 3/2022 de Ordenacion e Integracion de la Formacion Profesional.</w:t>
            </w:r>
          </w:p>
        </w:tc>
      </w:tr>
      <w:tr>
        <w:tc>
          <w:tcPr>
            <w:tcW w:type="dxa" w:w="24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Certificados de profesionalidad</w:t>
            </w:r>
          </w:p>
        </w:tc>
        <w:tc>
          <w:tcPr>
            <w:tcW w:type="dxa" w:w="69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Real Decreto 1224/2009 de reconocimiento de competencias profesionales.</w:t>
            </w:r>
          </w:p>
        </w:tc>
      </w:tr>
      <w:tr>
        <w:tc>
          <w:tcPr>
            <w:tcW w:type="dxa" w:w="24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2F4F7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FP Dual</w:t>
            </w:r>
          </w:p>
        </w:tc>
        <w:tc>
          <w:tcPr>
            <w:tcW w:type="dxa" w:w="69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2F4F7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Real Decreto 1529/2012 y normativa de desarrollo autonomico.</w:t>
            </w:r>
          </w:p>
        </w:tc>
      </w:tr>
      <w:tr>
        <w:tc>
          <w:tcPr>
            <w:tcW w:type="dxa" w:w="24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Empleo y formacion para el empleo</w:t>
            </w:r>
          </w:p>
        </w:tc>
        <w:tc>
          <w:tcPr>
            <w:tcW w:type="dxa" w:w="69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Ley 30/2015 del Sistema de Formacion Profesional para el Empleo en el ambito laboral.</w:t>
            </w:r>
          </w:p>
        </w:tc>
      </w:tr>
    </w:tbl>
    <w:p>
      <w:pPr>
        <w:spacing w:after="0" w:before="200"/>
      </w:pPr>
      <w:r>
        <w:t xml:space="preserve"/>
      </w:r>
    </w:p>
    <w:p>
      <w:pPr>
        <w:pStyle w:val="Heading1"/>
        <w:pBdr>
          <w:bottom w:val="single" w:color="1F4E8C" w:sz="8" w:space="6"/>
        </w:pBdr>
        <w:spacing w:after="160" w:before="400"/>
      </w:pPr>
      <w:r>
        <w:rPr>
          <w:rFonts w:ascii="Arial" w:cs="Arial" w:eastAsia="Arial" w:hAnsi="Arial"/>
          <w:b/>
          <w:bCs/>
          <w:color w:val="1F4E8C"/>
          <w:sz w:val="30"/>
          <w:szCs w:val="30"/>
        </w:rPr>
        <w:t xml:space="preserve">8. Conclusion</w:t>
      </w:r>
    </w:p>
    <w:tbl>
      <w:tblPr>
        <w:tblW w:type="dxa" w:w="936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360"/>
      </w:tblGrid>
      <w:tr>
        <w:tc>
          <w:tcPr>
            <w:tcW w:type="dxa" w:w="9360"/>
            <w:tcBorders>
              <w:top w:val="single" w:color="C9A84C" w:sz="8"/>
              <w:left w:val="single" w:color="C9A84C" w:sz="8"/>
              <w:bottom w:val="single" w:color="C9A84C" w:sz="8"/>
              <w:right w:val="single" w:color="C9A84C" w:sz="8"/>
            </w:tcBorders>
            <w:shd w:fill="FFF8E7" w:val="clear"/>
            <w:tcMar>
              <w:top w:type="dxa" w:w="140"/>
              <w:left w:type="dxa" w:w="200"/>
              <w:bottom w:type="dxa" w:w="140"/>
              <w:right w:type="dxa" w:w="200"/>
            </w:tcMar>
          </w:tcPr>
          <w:p>
            <w:pPr>
              <w:spacing w:after="60" w:before="60"/>
            </w:pPr>
            <w:r>
              <w:rPr>
                <w:rFonts w:ascii="Arial" w:cs="Arial" w:eastAsia="Arial" w:hAnsi="Arial"/>
                <w:b/>
                <w:bCs/>
                <w:color w:val="3A2800"/>
                <w:sz w:val="22"/>
                <w:szCs w:val="22"/>
              </w:rPr>
              <w:t xml:space="preserve">Dos reformas. Un mismo objetivo.</w:t>
            </w:r>
          </w:p>
          <w:p>
            <w:pPr>
              <w:spacing w:after="60" w:before="60"/>
            </w:pPr>
            <w:r>
              <w:rPr>
                <w:rFonts w:ascii="Arial" w:cs="Arial" w:eastAsia="Arial" w:hAnsi="Arial"/>
                <w:b w:val="false"/>
                <w:bCs w:val="false"/>
                <w:color w:val="3A2800"/>
                <w:sz w:val="22"/>
                <w:szCs w:val="22"/>
              </w:rPr>
              <w:t xml:space="preserve"/>
            </w:r>
          </w:p>
          <w:p>
            <w:pPr>
              <w:spacing w:after="60" w:before="60"/>
            </w:pPr>
            <w:r>
              <w:rPr>
                <w:rFonts w:ascii="Arial" w:cs="Arial" w:eastAsia="Arial" w:hAnsi="Arial"/>
                <w:b w:val="false"/>
                <w:bCs w:val="false"/>
                <w:color w:val="3A2800"/>
                <w:sz w:val="22"/>
                <w:szCs w:val="22"/>
              </w:rPr>
              <w:t xml:space="preserve">La EBAU unica garantiza que el punto de partida sea justo:</w:t>
            </w:r>
          </w:p>
          <w:p>
            <w:pPr>
              <w:spacing w:after="60" w:before="60"/>
            </w:pPr>
            <w:r>
              <w:rPr>
                <w:rFonts w:ascii="Arial" w:cs="Arial" w:eastAsia="Arial" w:hAnsi="Arial"/>
                <w:b w:val="false"/>
                <w:bCs w:val="false"/>
                <w:color w:val="3A2800"/>
                <w:sz w:val="22"/>
                <w:szCs w:val="22"/>
              </w:rPr>
              <w:t xml:space="preserve">dos estudiantes con el mismo nivel tienen las mismas oportunidades, vengan de donde vengan.</w:t>
            </w:r>
          </w:p>
          <w:p>
            <w:pPr>
              <w:spacing w:after="60" w:before="60"/>
            </w:pPr>
            <w:r>
              <w:rPr>
                <w:rFonts w:ascii="Arial" w:cs="Arial" w:eastAsia="Arial" w:hAnsi="Arial"/>
                <w:b w:val="false"/>
                <w:bCs w:val="false"/>
                <w:color w:val="3A2800"/>
                <w:sz w:val="22"/>
                <w:szCs w:val="22"/>
              </w:rPr>
              <w:t xml:space="preserve"/>
            </w:r>
          </w:p>
          <w:p>
            <w:pPr>
              <w:spacing w:after="60" w:before="60"/>
            </w:pPr>
            <w:r>
              <w:rPr>
                <w:rFonts w:ascii="Arial" w:cs="Arial" w:eastAsia="Arial" w:hAnsi="Arial"/>
                <w:b w:val="false"/>
                <w:bCs w:val="false"/>
                <w:color w:val="3A2800"/>
                <w:sz w:val="22"/>
                <w:szCs w:val="22"/>
              </w:rPr>
              <w:t xml:space="preserve">La FP dirigida al empleo garantiza que el destino sea real:</w:t>
            </w:r>
          </w:p>
          <w:p>
            <w:pPr>
              <w:spacing w:after="60" w:before="60"/>
            </w:pPr>
            <w:r>
              <w:rPr>
                <w:rFonts w:ascii="Arial" w:cs="Arial" w:eastAsia="Arial" w:hAnsi="Arial"/>
                <w:b w:val="false"/>
                <w:bCs w:val="false"/>
                <w:color w:val="3A2800"/>
                <w:sz w:val="22"/>
                <w:szCs w:val="22"/>
              </w:rPr>
              <w:t xml:space="preserve">un joven que elige FP tiene una trayectoria clara hacia un empleo concreto en un sector que lo necesita.</w:t>
            </w:r>
          </w:p>
          <w:p>
            <w:pPr>
              <w:spacing w:after="60" w:before="60"/>
            </w:pPr>
            <w:r>
              <w:rPr>
                <w:rFonts w:ascii="Arial" w:cs="Arial" w:eastAsia="Arial" w:hAnsi="Arial"/>
                <w:b w:val="false"/>
                <w:bCs w:val="false"/>
                <w:color w:val="3A2800"/>
                <w:sz w:val="22"/>
                <w:szCs w:val="22"/>
              </w:rPr>
              <w:t xml:space="preserve"/>
            </w:r>
          </w:p>
          <w:p>
            <w:pPr>
              <w:spacing w:after="60" w:before="60"/>
            </w:pPr>
            <w:r>
              <w:rPr>
                <w:rFonts w:ascii="Arial" w:cs="Arial" w:eastAsia="Arial" w:hAnsi="Arial"/>
                <w:b w:val="false"/>
                <w:bCs w:val="false"/>
                <w:color w:val="3A2800"/>
                <w:sz w:val="22"/>
                <w:szCs w:val="22"/>
              </w:rPr>
              <w:t xml:space="preserve">Un pais que no da igualdad de origen en la educacion no puede ser justo.</w:t>
            </w:r>
          </w:p>
          <w:p>
            <w:pPr>
              <w:spacing w:after="60" w:before="60"/>
            </w:pPr>
            <w:r>
              <w:rPr>
                <w:rFonts w:ascii="Arial" w:cs="Arial" w:eastAsia="Arial" w:hAnsi="Arial"/>
                <w:b w:val="false"/>
                <w:bCs w:val="false"/>
                <w:color w:val="3A2800"/>
                <w:sz w:val="22"/>
                <w:szCs w:val="22"/>
              </w:rPr>
              <w:t xml:space="preserve">Un pais que forma jovenes para el paro no puede ser eficiente.</w:t>
            </w:r>
          </w:p>
          <w:p>
            <w:pPr>
              <w:spacing w:after="60" w:before="60"/>
            </w:pPr>
            <w:r>
              <w:rPr>
                <w:rFonts w:ascii="Arial" w:cs="Arial" w:eastAsia="Arial" w:hAnsi="Arial"/>
                <w:b w:val="false"/>
                <w:bCs w:val="false"/>
                <w:color w:val="3A2800"/>
                <w:sz w:val="22"/>
                <w:szCs w:val="22"/>
              </w:rPr>
              <w:t xml:space="preserve"/>
            </w:r>
          </w:p>
          <w:p>
            <w:pPr>
              <w:spacing w:after="60" w:before="60"/>
            </w:pPr>
            <w:r>
              <w:rPr>
                <w:rFonts w:ascii="Arial" w:cs="Arial" w:eastAsia="Arial" w:hAnsi="Arial"/>
                <w:b/>
                <w:bCs/>
                <w:color w:val="3A2800"/>
                <w:sz w:val="22"/>
                <w:szCs w:val="22"/>
              </w:rPr>
              <w:t xml:space="preserve">Espana Eficiente propone las dos cosas a la vez.</w:t>
            </w:r>
          </w:p>
        </w:tc>
      </w:tr>
    </w:tbl>
    <w:p>
      <w:pPr>
        <w:spacing w:after="0" w:before="240"/>
      </w:pPr>
      <w:r>
        <w:t xml:space="preserve"/>
      </w:r>
    </w:p>
    <w:tbl>
      <w:tblPr>
        <w:tblW w:type="dxa" w:w="936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360"/>
      </w:tblGrid>
      <w:tr>
        <w:tc>
          <w:tcPr>
            <w:tcW w:type="dxa" w:w="9360"/>
            <w:tcBorders>
              <w:top w:val="single" w:color="1F4E8C" w:sz="8"/>
              <w:left w:val="single" w:color="1F4E8C" w:sz="8"/>
              <w:bottom w:val="single" w:color="1F4E8C" w:sz="8"/>
              <w:right w:val="single" w:color="1F4E8C" w:sz="8"/>
            </w:tcBorders>
            <w:shd w:fill="D6E4F7" w:val="clear"/>
            <w:tcMar>
              <w:top w:type="dxa" w:w="140"/>
              <w:left w:type="dxa" w:w="200"/>
              <w:bottom w:type="dxa" w:w="140"/>
              <w:right w:type="dxa" w:w="200"/>
            </w:tcMar>
          </w:tcPr>
          <w:p>
            <w:pPr>
              <w:spacing w:after="60" w:before="60"/>
            </w:pPr>
            <w:r>
              <w:rPr>
                <w:rFonts w:ascii="Arial" w:cs="Arial" w:eastAsia="Arial" w:hAnsi="Arial"/>
                <w:b w:val="false"/>
                <w:bCs w:val="false"/>
                <w:color w:val="0D2D5E"/>
                <w:sz w:val="22"/>
                <w:szCs w:val="22"/>
              </w:rPr>
              <w:t xml:space="preserve">Este Policy Brief forma parte de Espana Eficiente: El Modelo Completo.</w:t>
            </w:r>
          </w:p>
          <w:p>
            <w:pPr>
              <w:spacing w:after="60" w:before="60"/>
            </w:pPr>
            <w:r>
              <w:rPr>
                <w:rFonts w:ascii="Arial" w:cs="Arial" w:eastAsia="Arial" w:hAnsi="Arial"/>
                <w:b/>
                <w:bCs/>
                <w:color w:val="0D2D5E"/>
                <w:sz w:val="22"/>
                <w:szCs w:val="22"/>
              </w:rPr>
              <w:t xml:space="preserve">Relacionado con: Plan +50 | Cultura e Identidad | Bloque Fiscal | Conexion Empresa-Universidad | Administracion Digital.</w:t>
            </w:r>
          </w:p>
        </w:tc>
      </w:tr>
    </w:tbl>
    <w:p>
      <w:pPr>
        <w:spacing w:after="0" w:before="200"/>
      </w:pPr>
      <w:r>
        <w:t xml:space="preserve"/>
      </w:r>
    </w:p>
    <w:p>
      <w:pPr>
        <w:pBdr>
          <w:top w:val="single" w:color="1F4E8C" w:sz="4" w:space="8"/>
        </w:pBdr>
        <w:spacing w:after="60" w:before="200"/>
        <w:jc w:val="center"/>
      </w:pPr>
      <w:r>
        <w:rPr>
          <w:rFonts w:ascii="Arial" w:cs="Arial" w:eastAsia="Arial" w:hAnsi="Arial"/>
          <w:i/>
          <w:iCs/>
          <w:color w:val="777777"/>
          <w:sz w:val="18"/>
          <w:szCs w:val="18"/>
        </w:rPr>
        <w:t xml:space="preserve">Espana Eficiente  |  Modelo completo de reforma fiscal, laboral y social</w:t>
      </w:r>
    </w:p>
    <w:p>
      <w:pPr>
        <w:spacing w:after="0" w:before="40"/>
        <w:jc w:val="center"/>
      </w:pPr>
      <w:r>
        <w:rPr>
          <w:rFonts w:ascii="Arial" w:cs="Arial" w:eastAsia="Arial" w:hAnsi="Arial"/>
          <w:color w:val="777777"/>
          <w:sz w:val="18"/>
          <w:szCs w:val="18"/>
        </w:rPr>
        <w:t xml:space="preserve">Documento de trabajo. Todos los derechos reservados.</w:t>
      </w:r>
    </w:p>
    <w:sectPr>
      <w:pgSz w:w="11906" w:h="16838" w:orient="portrait"/>
      <w:pgMar w:top="1440" w:right="1260" w:bottom="1440" w:left="126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bullet"/>
      <w:lvlText w:val="•"/>
      <w:lvlJc w:val="left"/>
      <w:pPr>
        <w:ind w:left="640" w:hanging="360"/>
      </w:pPr>
    </w:lvl>
  </w:abstractNum>
  <w:num w:numId="1">
    <w:abstractNumId w:val="1"/>
    <w:lvlOverride w:ilvl="0">
      <w:startOverride w:val="1"/>
    </w:lvlOverride>
  </w:num>
  <w:num w:numId="2">
    <w:abstractNumId w:val="2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cs="Arial" w:eastAsia="Arial" w:hAnsi="Arial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  <w:style w:type="paragraph" w:styleId="Heading1">
    <w:name w:val="Heading 1"/>
    <w:basedOn w:val="Normal"/>
    <w:next w:val="Normal"/>
    <w:pPr>
      <w:spacing w:after="160" w:before="400"/>
      <w:outlineLvl w:val="0"/>
    </w:pPr>
    <w:rPr>
      <w:rFonts w:ascii="Arial" w:cs="Arial" w:eastAsia="Arial" w:hAnsi="Arial"/>
      <w:b/>
      <w:bCs/>
      <w:color w:val="1F4E8C"/>
      <w:sz w:val="30"/>
      <w:szCs w:val="30"/>
    </w:rPr>
  </w:style>
  <w:style w:type="paragraph" w:styleId="Heading2">
    <w:name w:val="Heading 2"/>
    <w:basedOn w:val="Normal"/>
    <w:next w:val="Normal"/>
    <w:pPr>
      <w:spacing w:after="120" w:before="300"/>
      <w:outlineLvl w:val="1"/>
    </w:pPr>
    <w:rPr>
      <w:rFonts w:ascii="Arial" w:cs="Arial" w:eastAsia="Arial" w:hAnsi="Arial"/>
      <w:b/>
      <w:bCs/>
      <w:color w:val="1F4E8C"/>
      <w:sz w:val="26"/>
      <w:szCs w:val="26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2026-05-31T08:26:20.849Z</dcterms:created>
  <dcterms:modified xsi:type="dcterms:W3CDTF">2026-05-31T08:26:20.863Z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